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6765" cy="693420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41" l="-12" r="-12" t="-43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SECRETARIA DE EDUCAÇÃO PROFISSIONAL E TECNOLÓGICA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INSTITUTO FEDERAL DE EDUCAÇÃO, CIÊNCIA E TECNOLOGIA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CÂMPUS CIDADE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700" lIns="700" spcFirstLastPara="1" rIns="700" wrap="square" tIns="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6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" w:hanging="2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PROJETO DE ENSINO Nº 03/2023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" w:hanging="2"/>
        <w:jc w:val="center"/>
        <w:rPr/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DISPOSIÇÕES GERAIS PARA O DESENVOLVIMENTO DOS PROJETOS DE ENSINO APROVADOS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" w:hanging="3"/>
        <w:jc w:val="center"/>
        <w:rPr>
          <w:rFonts w:ascii="Cambria" w:cs="Cambria" w:eastAsia="Cambria" w:hAnsi="Cambria"/>
          <w:color w:val="365f9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" w:hanging="3"/>
        <w:rPr>
          <w:rFonts w:ascii="Arial" w:cs="Arial" w:eastAsia="Arial" w:hAnsi="Arial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FORMALIZAÇÃO DOS PROJETOS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Após a divulgação do resultado final, os/as coordenadores/as das propostas aprovadas deverão encaminhar processo ao Departamento de Áreas Acadêmicas, via SUAP, conforme cronograma com a seguinte documentação:</w:t>
      </w:r>
    </w:p>
    <w:p w:rsidR="00000000" w:rsidDel="00000000" w:rsidP="00000000" w:rsidRDefault="00000000" w:rsidRPr="00000000" w14:paraId="0000000D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dos Documentos da equipe executora (coordenador/a, colaborador/a, estudantes bolsistas, estudantes voluntários), CPF e dados bancários dos estudantes bolsistas;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 do estudante bolsista e do estudante voluntário, devidamente assinado;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autorização dos responsáveis, em casos de estudantes bolsistas e voluntários, menores de idade, devidamente assinado;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matrícula dos estudantes bolsistas e voluntários;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Documentação comprobatória dos estudantes bolsistas que ingressaram no IFG por meio das políticas de ações afirmativas (declaração da CORAE, e/ou que comprovem vulnerabilidade socioeconômica, conforme resultado do Edital de assistência homologado pela CAE, ou por meio de outra forma de validação junto a este setor).</w:t>
      </w:r>
    </w:p>
    <w:p w:rsidR="00000000" w:rsidDel="00000000" w:rsidP="00000000" w:rsidRDefault="00000000" w:rsidRPr="00000000" w14:paraId="00000013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BOLSAS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A primeira bolsa deverá ser paga após 30 (trinta dias corridos do início do Projeto de Ensino. O pagamento das bolsas fica à cargo da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Gerência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Administração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Câmpus Cidade de Goiás.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As bolsas serão liberadas somente após o envio da documentação solicitada.</w:t>
      </w:r>
    </w:p>
    <w:p w:rsidR="00000000" w:rsidDel="00000000" w:rsidP="00000000" w:rsidRDefault="00000000" w:rsidRPr="00000000" w14:paraId="00000018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CANCELAMENTO DAS BOLSAS E DESLIGAMENTO DO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cancelamento da bolsa e desligamento do estudante bolsista poderá ser realizado a qualquer tempo, seja por solicitação do estudante, seja por solicitação da coordenação do Projeto de Ensino.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justificativa e o relatório de atividades do estudante até o momento do seu desligamento deverão ser encaminhados ao Departamento de Áreas Acadêmicas, via SUAP, para ser apensada ao processo do Projeto de Ensino.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recursos financeiros provenientes do saldo das bolsas não utilizadas poderão ser alocados para pagamento de bolsas a novos estudantes, desde que mantido o mesmo Plano de Ação e comprovação da documentação necessária conforme previsto no Edital.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cancelamento da concessão de bolsa poderá ser realizado a qualquer momento pelo Departamento de Áreas Acadêmicas, caso seja constatada alguma irregularidade quanto ao cumprimento das normas deste Edital.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ATRIBUIÇÕES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Coordenador/a do Projeto de Ensino: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Executar o Projeto de Ensino conforme os objetivos, metodologia e cronograma previstos na proposta aprovada, de acordo com este Edital e com a Instrução Normativa nº 06 de 26 de dezembro de 2018.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Encaminhar a documentação solicitada no item 1 deste Anexo.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Orientar os estudantes bolsistas e voluntários em relação às atividades previstas para o desenvolvimento do Projeto de Ensino.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Zelar pelo cumprimento do Plano de Ação dos estudantes bolsistas e voluntários.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ao Departamento de Áreas Acadêmicas sobre a mudança de estudantes bolsistas, caso haja algum desligamento, com até 5 dias úteis após a realização do procedimento.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Registrar as atividades realizadas do Projeto de Ensino, bem como a frequência dos estudantes participantes, dos estudantes bolsistas e dos estudantes voluntários, mensalmente, para controle do/a coordenador/a, conforme Anexo IX. Não é necessário o envio dessa frequência para o Departamento de Áreas Acadêmicas. Ela servirá apenas para controle do/a coordenador/a.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Encaminhar ao Departamento de Áreas Acadêmicas, até 30 dias após a conclusão do Projeto de Ensino, o Relatório Final e a Frequência Final (Anexo VII e Anexo X, respectivamente) dos estudantes bolsistas e dos estudantes voluntários com as respectivas cargas horárias cumpridas para encerramento do processo no SUAP, e emissão de certificação pelo Departamento.</w:t>
      </w:r>
    </w:p>
    <w:p w:rsidR="00000000" w:rsidDel="00000000" w:rsidP="00000000" w:rsidRDefault="00000000" w:rsidRPr="00000000" w14:paraId="0000002B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Colaborador/a do Projeto de Ensino: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Participar das atividades previstas no Projeto de Ensino e desenvolver as ações que, de acordo com o plano de ação, forem de sua responsabilidade.</w:t>
      </w:r>
    </w:p>
    <w:p w:rsidR="00000000" w:rsidDel="00000000" w:rsidP="00000000" w:rsidRDefault="00000000" w:rsidRPr="00000000" w14:paraId="0000002F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Estudante Bolsista: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Cumprir as atividades previstas no plano de ação e participar das atividades de sistematização, estudo e desenvolvimento do Projeto de Ensino.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Cumprir 20 horas semanais de atividades (as atividades de estudo e pesquisas não serão computadas para fins de certificação).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Atender às solicitações do/a coordenador/a do Projeto de Ensino.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 de eventos internos e externos de apresentação das ações de ensino, de acordo com a demanda institucional.</w:t>
      </w:r>
    </w:p>
    <w:p w:rsidR="00000000" w:rsidDel="00000000" w:rsidP="00000000" w:rsidRDefault="00000000" w:rsidRPr="00000000" w14:paraId="00000036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Estudante Voluntário/a: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Cumprir as atividades previstas no plano de ação e participar das atividades de sistematização, estudo e desenvolvimento do Projeto de Ensino.</w:t>
      </w:r>
    </w:p>
    <w:p w:rsidR="00000000" w:rsidDel="00000000" w:rsidP="00000000" w:rsidRDefault="00000000" w:rsidRPr="00000000" w14:paraId="0000003A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Cumprir 20 horas semanais de atividades (as atividades de estudo e pesquisas não serão computadas para fins de certificação).</w:t>
      </w:r>
    </w:p>
    <w:p w:rsidR="00000000" w:rsidDel="00000000" w:rsidP="00000000" w:rsidRDefault="00000000" w:rsidRPr="00000000" w14:paraId="0000003B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Atender às solicitações do/a coordenador/a do Projeto de Ensino.</w:t>
      </w:r>
    </w:p>
    <w:p w:rsidR="00000000" w:rsidDel="00000000" w:rsidP="00000000" w:rsidRDefault="00000000" w:rsidRPr="00000000" w14:paraId="0000003C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4. Participar de eventos internos e externos de apresentação das ações de ensino, de acordo com a demanda institucional.</w:t>
      </w:r>
    </w:p>
    <w:p w:rsidR="00000000" w:rsidDel="00000000" w:rsidP="00000000" w:rsidRDefault="00000000" w:rsidRPr="00000000" w14:paraId="0000003D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DO ACOMPANHAMENTO, SUPERVISÃO E FINALIZAÇÃO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O acompanhamento da realização dos Projetos de Ensino ficará a cargo das Coordenações Acadêmicas nos Câmpus.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O Relatório Final do Projeto de Ensino deverá ser encaminhado ao Conselho Departamental após o encerramento das atividades, respeitando o prazo máximo estabelecido no cronograma constante do item 12.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O Projeto de Ensino será considerado concluído somente após parecer favorável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Conselho Departamental sobre o Relatório Final.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Após a homologação do Relatório Final no Conselho Departamental, o/a coordenador do Projeto de Ensino deverá encaminhar os seguintes documentos, via SUAP ao Departamento:</w:t>
      </w:r>
    </w:p>
    <w:p w:rsidR="00000000" w:rsidDel="00000000" w:rsidP="00000000" w:rsidRDefault="00000000" w:rsidRPr="00000000" w14:paraId="00000044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Relatório Final (Anexo VII).</w:t>
      </w:r>
    </w:p>
    <w:p w:rsidR="00000000" w:rsidDel="00000000" w:rsidP="00000000" w:rsidRDefault="00000000" w:rsidRPr="00000000" w14:paraId="00000045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Frequência Final (Anexo X) do/a coordenador/a, do/a colaborador/a, dos/as estudantes bolsistas e dos/as estudantes voluntários/as.</w:t>
      </w:r>
    </w:p>
    <w:p w:rsidR="00000000" w:rsidDel="00000000" w:rsidP="00000000" w:rsidRDefault="00000000" w:rsidRPr="00000000" w14:paraId="00000046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 CERTIFICAÇÃO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A certificação dos integrantes (estudantes bolsistas, estudantes voluntários/as, colaboradores e coordenador/a) será emitida pelo Departamento de Áreas Acadêmicas, considerando-se a carga horária prevista na proposta de Projeto de Ensino aprovada, mínimo de 27 horas e máximo de 54 horas.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Importante: Não será emitida certificação com carga horária diferente da prevista neste Edital. O cômputo de carga horária referente às atividades semanais de pesquisa, estudo, etc. não terão efeito para certificação. Apenas a Carga Horária efetiva de execução do Projeto que deve ser entre 27h e 54h.</w:t>
      </w:r>
    </w:p>
    <w:p w:rsidR="00000000" w:rsidDel="00000000" w:rsidP="00000000" w:rsidRDefault="00000000" w:rsidRPr="00000000" w14:paraId="0000004C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2" w:hanging="2"/>
        <w:jc w:val="cente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3"/>
      <w:numFmt w:val="decimal"/>
      <w:lvlText w:val="%1."/>
      <w:lvlJc w:val="left"/>
      <w:pPr>
        <w:ind w:left="362" w:hanging="360"/>
      </w:pPr>
      <w:rPr/>
    </w:lvl>
    <w:lvl w:ilvl="1">
      <w:start w:val="1"/>
      <w:numFmt w:val="lowerLetter"/>
      <w:lvlText w:val="%2."/>
      <w:lvlJc w:val="left"/>
      <w:pPr>
        <w:ind w:left="1082" w:hanging="360"/>
      </w:pPr>
      <w:rPr/>
    </w:lvl>
    <w:lvl w:ilvl="2">
      <w:start w:val="1"/>
      <w:numFmt w:val="lowerRoman"/>
      <w:lvlText w:val="%3."/>
      <w:lvlJc w:val="right"/>
      <w:pPr>
        <w:ind w:left="1802" w:hanging="180"/>
      </w:pPr>
      <w:rPr/>
    </w:lvl>
    <w:lvl w:ilvl="3">
      <w:start w:val="1"/>
      <w:numFmt w:val="decimal"/>
      <w:lvlText w:val="%4."/>
      <w:lvlJc w:val="left"/>
      <w:pPr>
        <w:ind w:left="2522" w:hanging="360"/>
      </w:pPr>
      <w:rPr/>
    </w:lvl>
    <w:lvl w:ilvl="4">
      <w:start w:val="1"/>
      <w:numFmt w:val="lowerLetter"/>
      <w:lvlText w:val="%5."/>
      <w:lvlJc w:val="left"/>
      <w:pPr>
        <w:ind w:left="3242" w:hanging="360"/>
      </w:pPr>
      <w:rPr/>
    </w:lvl>
    <w:lvl w:ilvl="5">
      <w:start w:val="1"/>
      <w:numFmt w:val="lowerRoman"/>
      <w:lvlText w:val="%6."/>
      <w:lvlJc w:val="right"/>
      <w:pPr>
        <w:ind w:left="3962" w:hanging="180"/>
      </w:pPr>
      <w:rPr/>
    </w:lvl>
    <w:lvl w:ilvl="6">
      <w:start w:val="1"/>
      <w:numFmt w:val="decimal"/>
      <w:lvlText w:val="%7."/>
      <w:lvlJc w:val="left"/>
      <w:pPr>
        <w:ind w:left="4682" w:hanging="360"/>
      </w:pPr>
      <w:rPr/>
    </w:lvl>
    <w:lvl w:ilvl="7">
      <w:start w:val="1"/>
      <w:numFmt w:val="lowerLetter"/>
      <w:lvlText w:val="%8."/>
      <w:lvlJc w:val="left"/>
      <w:pPr>
        <w:ind w:left="5402" w:hanging="360"/>
      </w:pPr>
      <w:rPr/>
    </w:lvl>
    <w:lvl w:ilvl="8">
      <w:start w:val="1"/>
      <w:numFmt w:val="lowerRoman"/>
      <w:lvlText w:val="%9."/>
      <w:lvlJc w:val="right"/>
      <w:pPr>
        <w:ind w:left="6122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62" w:hanging="360"/>
      </w:pPr>
      <w:rPr/>
    </w:lvl>
    <w:lvl w:ilvl="1">
      <w:start w:val="1"/>
      <w:numFmt w:val="lowerLetter"/>
      <w:lvlText w:val="%2."/>
      <w:lvlJc w:val="left"/>
      <w:pPr>
        <w:ind w:left="1082" w:hanging="360"/>
      </w:pPr>
      <w:rPr/>
    </w:lvl>
    <w:lvl w:ilvl="2">
      <w:start w:val="1"/>
      <w:numFmt w:val="lowerRoman"/>
      <w:lvlText w:val="%3."/>
      <w:lvlJc w:val="right"/>
      <w:pPr>
        <w:ind w:left="1802" w:hanging="180"/>
      </w:pPr>
      <w:rPr/>
    </w:lvl>
    <w:lvl w:ilvl="3">
      <w:start w:val="1"/>
      <w:numFmt w:val="decimal"/>
      <w:lvlText w:val="%4."/>
      <w:lvlJc w:val="left"/>
      <w:pPr>
        <w:ind w:left="2522" w:hanging="360"/>
      </w:pPr>
      <w:rPr/>
    </w:lvl>
    <w:lvl w:ilvl="4">
      <w:start w:val="1"/>
      <w:numFmt w:val="lowerLetter"/>
      <w:lvlText w:val="%5."/>
      <w:lvlJc w:val="left"/>
      <w:pPr>
        <w:ind w:left="3242" w:hanging="360"/>
      </w:pPr>
      <w:rPr/>
    </w:lvl>
    <w:lvl w:ilvl="5">
      <w:start w:val="1"/>
      <w:numFmt w:val="lowerRoman"/>
      <w:lvlText w:val="%6."/>
      <w:lvlJc w:val="right"/>
      <w:pPr>
        <w:ind w:left="3962" w:hanging="180"/>
      </w:pPr>
      <w:rPr/>
    </w:lvl>
    <w:lvl w:ilvl="6">
      <w:start w:val="1"/>
      <w:numFmt w:val="decimal"/>
      <w:lvlText w:val="%7."/>
      <w:lvlJc w:val="left"/>
      <w:pPr>
        <w:ind w:left="4682" w:hanging="360"/>
      </w:pPr>
      <w:rPr/>
    </w:lvl>
    <w:lvl w:ilvl="7">
      <w:start w:val="1"/>
      <w:numFmt w:val="lowerLetter"/>
      <w:lvlText w:val="%8."/>
      <w:lvlJc w:val="left"/>
      <w:pPr>
        <w:ind w:left="5402" w:hanging="360"/>
      </w:pPr>
      <w:rPr/>
    </w:lvl>
    <w:lvl w:ilvl="8">
      <w:start w:val="1"/>
      <w:numFmt w:val="lowerRoman"/>
      <w:lvlText w:val="%9."/>
      <w:lvlJc w:val="right"/>
      <w:pPr>
        <w:ind w:left="6122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62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082" w:hanging="360"/>
      </w:pPr>
      <w:rPr/>
    </w:lvl>
    <w:lvl w:ilvl="2">
      <w:start w:val="1"/>
      <w:numFmt w:val="lowerRoman"/>
      <w:lvlText w:val="%3."/>
      <w:lvlJc w:val="right"/>
      <w:pPr>
        <w:ind w:left="1802" w:hanging="180"/>
      </w:pPr>
      <w:rPr/>
    </w:lvl>
    <w:lvl w:ilvl="3">
      <w:start w:val="1"/>
      <w:numFmt w:val="decimal"/>
      <w:lvlText w:val="%4."/>
      <w:lvlJc w:val="left"/>
      <w:pPr>
        <w:ind w:left="2522" w:hanging="360"/>
      </w:pPr>
      <w:rPr/>
    </w:lvl>
    <w:lvl w:ilvl="4">
      <w:start w:val="1"/>
      <w:numFmt w:val="lowerLetter"/>
      <w:lvlText w:val="%5."/>
      <w:lvlJc w:val="left"/>
      <w:pPr>
        <w:ind w:left="3242" w:hanging="360"/>
      </w:pPr>
      <w:rPr/>
    </w:lvl>
    <w:lvl w:ilvl="5">
      <w:start w:val="1"/>
      <w:numFmt w:val="lowerRoman"/>
      <w:lvlText w:val="%6."/>
      <w:lvlJc w:val="right"/>
      <w:pPr>
        <w:ind w:left="3962" w:hanging="180"/>
      </w:pPr>
      <w:rPr/>
    </w:lvl>
    <w:lvl w:ilvl="6">
      <w:start w:val="1"/>
      <w:numFmt w:val="decimal"/>
      <w:lvlText w:val="%7."/>
      <w:lvlJc w:val="left"/>
      <w:pPr>
        <w:ind w:left="4682" w:hanging="360"/>
      </w:pPr>
      <w:rPr/>
    </w:lvl>
    <w:lvl w:ilvl="7">
      <w:start w:val="1"/>
      <w:numFmt w:val="lowerLetter"/>
      <w:lvlText w:val="%8."/>
      <w:lvlJc w:val="left"/>
      <w:pPr>
        <w:ind w:left="5402" w:hanging="360"/>
      </w:pPr>
      <w:rPr/>
    </w:lvl>
    <w:lvl w:ilvl="8">
      <w:start w:val="1"/>
      <w:numFmt w:val="lowerRoman"/>
      <w:lvlText w:val="%9."/>
      <w:lvlJc w:val="right"/>
      <w:pPr>
        <w:ind w:left="6122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58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2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2" w:hanging="360"/>
      </w:pPr>
      <w:rPr/>
    </w:lvl>
    <w:lvl w:ilvl="2">
      <w:start w:val="1"/>
      <w:numFmt w:val="lowerRoman"/>
      <w:lvlText w:val="%3."/>
      <w:lvlJc w:val="right"/>
      <w:pPr>
        <w:ind w:left="1802" w:hanging="180"/>
      </w:pPr>
      <w:rPr/>
    </w:lvl>
    <w:lvl w:ilvl="3">
      <w:start w:val="1"/>
      <w:numFmt w:val="decimal"/>
      <w:lvlText w:val="%4."/>
      <w:lvlJc w:val="left"/>
      <w:pPr>
        <w:ind w:left="2522" w:hanging="360"/>
      </w:pPr>
      <w:rPr/>
    </w:lvl>
    <w:lvl w:ilvl="4">
      <w:start w:val="1"/>
      <w:numFmt w:val="lowerLetter"/>
      <w:lvlText w:val="%5."/>
      <w:lvlJc w:val="left"/>
      <w:pPr>
        <w:ind w:left="3242" w:hanging="360"/>
      </w:pPr>
      <w:rPr/>
    </w:lvl>
    <w:lvl w:ilvl="5">
      <w:start w:val="1"/>
      <w:numFmt w:val="lowerRoman"/>
      <w:lvlText w:val="%6."/>
      <w:lvlJc w:val="right"/>
      <w:pPr>
        <w:ind w:left="3962" w:hanging="180"/>
      </w:pPr>
      <w:rPr/>
    </w:lvl>
    <w:lvl w:ilvl="6">
      <w:start w:val="1"/>
      <w:numFmt w:val="decimal"/>
      <w:lvlText w:val="%7."/>
      <w:lvlJc w:val="left"/>
      <w:pPr>
        <w:ind w:left="4682" w:hanging="360"/>
      </w:pPr>
      <w:rPr/>
    </w:lvl>
    <w:lvl w:ilvl="7">
      <w:start w:val="1"/>
      <w:numFmt w:val="lowerLetter"/>
      <w:lvlText w:val="%8."/>
      <w:lvlJc w:val="left"/>
      <w:pPr>
        <w:ind w:left="5402" w:hanging="360"/>
      </w:pPr>
      <w:rPr/>
    </w:lvl>
    <w:lvl w:ilvl="8">
      <w:start w:val="1"/>
      <w:numFmt w:val="lowerRoman"/>
      <w:lvlText w:val="%9."/>
      <w:lvlJc w:val="right"/>
      <w:pPr>
        <w:ind w:left="612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hanging="1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spacing w:after="28" w:before="100" w:lineRule="auto"/>
      <w:ind w:left="0" w:hanging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pt-PT" w:eastAsia="pt-PT"/>
    </w:rPr>
  </w:style>
  <w:style w:type="paragraph" w:styleId="Ttulo1">
    <w:name w:val="heading 1"/>
    <w:basedOn w:val="Normal"/>
    <w:next w:val="Corpodetexto"/>
    <w:pPr>
      <w:keepNext w:val="1"/>
      <w:keepLines w:val="1"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pPr>
      <w:numPr>
        <w:ilvl w:val="1"/>
        <w:numId w:val="1"/>
      </w:numPr>
      <w:spacing w:after="28" w:before="100"/>
      <w:ind w:left="-1" w:hanging="1"/>
      <w:outlineLvl w:val="1"/>
    </w:pPr>
    <w:rPr>
      <w:b w:val="1"/>
      <w:bCs w:val="1"/>
      <w:sz w:val="36"/>
      <w:szCs w:val="36"/>
      <w:lang w:bidi="ar-SA" w:eastAsia="ar-SA" w:val="pt-BR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ebaloChar" w:customStyle="1">
    <w:name w:val="Texto de balão Char"/>
    <w:basedOn w:val="Fontepargpadro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pt-PT" w:eastAsia="pt-PT" w:val="pt-PT"/>
    </w:rPr>
  </w:style>
  <w:style w:type="character" w:styleId="CabealhoChar" w:customStyle="1">
    <w:name w:val="Cabeçalho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RodapChar" w:customStyle="1">
    <w:name w:val="Rodapé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TextodenotaderodapChar" w:customStyle="1">
    <w:name w:val="Texto de nota de rodapé Char"/>
    <w:basedOn w:val="Fontepargpadro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pt-PT" w:eastAsia="pt-PT" w:val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styleId="Ttulo2Char" w:customStyle="1">
    <w:name w:val="Título 2 Char"/>
    <w:basedOn w:val="Fontepargpadro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styleId="Ttulo1Char" w:customStyle="1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bidi="pt-PT" w:eastAsia="pt-PT" w:val="pt-PT"/>
    </w:rPr>
  </w:style>
  <w:style w:type="character" w:styleId="ListLabel1" w:customStyle="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2" w:customStyle="1">
    <w:name w:val="ListLabel 2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3" w:customStyle="1">
    <w:name w:val="ListLabel 3"/>
    <w:rPr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4" w:customStyle="1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5" w:customStyle="1">
    <w:name w:val="ListLabel 5"/>
    <w:rPr>
      <w:b w:val="1"/>
      <w:bCs w:val="1"/>
      <w:spacing w:val="0"/>
      <w:w w:val="99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6" w:customStyle="1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9" w:customStyle="1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0" w:customStyle="1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1" w:customStyle="1">
    <w:name w:val="ListLabel 11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2" w:customStyle="1">
    <w:name w:val="ListLabel 12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3" w:customStyle="1">
    <w:name w:val="ListLabel 13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4" w:customStyle="1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5" w:customStyle="1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bidi="ar-SA" w:eastAsia="ar-SA" w:val="pt-PT"/>
    </w:rPr>
  </w:style>
  <w:style w:type="character" w:styleId="ListLabel16" w:customStyle="1">
    <w:name w:val="ListLabel 16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7" w:customStyle="1">
    <w:name w:val="ListLabel 17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8" w:customStyle="1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character" w:styleId="ListLabel19" w:customStyle="1">
    <w:name w:val="ListLabel 19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11" w:customStyle="1">
    <w:name w:val="Título 11"/>
    <w:basedOn w:val="Normal"/>
    <w:pPr>
      <w:spacing w:before="90"/>
      <w:ind w:left="683" w:firstLine="0"/>
    </w:pPr>
    <w:rPr>
      <w:b w:val="1"/>
      <w:bCs w:val="1"/>
      <w:sz w:val="24"/>
      <w:szCs w:val="24"/>
    </w:rPr>
  </w:style>
  <w:style w:type="paragraph" w:styleId="Ttulo21" w:customStyle="1">
    <w:name w:val="Título 21"/>
    <w:basedOn w:val="Normal"/>
    <w:pPr>
      <w:ind w:left="711" w:firstLine="0"/>
    </w:pPr>
    <w:rPr>
      <w:b w:val="1"/>
      <w:bCs w:val="1"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styleId="TableParagraph" w:customStyle="1">
    <w:name w:val="Table Paragraph"/>
    <w:basedOn w:val="Normal"/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suppressLineNumbers w:val="1"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 w:val="1"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after="28" w:before="100"/>
    </w:pPr>
    <w:rPr>
      <w:sz w:val="24"/>
      <w:szCs w:val="24"/>
      <w:lang w:bidi="ar-SA" w:eastAsia="ar-SA"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O-normal" w:customStyle="1">
    <w:name w:val="LO-normal"/>
    <w:qFormat w:val="1"/>
    <w:rsid w:val="002657C1"/>
    <w:pPr>
      <w:spacing w:after="60"/>
      <w:ind w:firstLine="709"/>
      <w:jc w:val="both"/>
    </w:pPr>
    <w:rPr>
      <w:rFonts w:ascii="Arial" w:cs="Arial" w:eastAsia="Arial" w:hAnsi="Arial"/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GdwbfVKmAQ6isoyPasbGmjlsw==">CgMxLjAyCWguMzBqMHpsbDgAciExd2xnVEpqYzBMZ0xaYm14YmxLZ01PRGhoel9LNnkwTVg=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2023-09-15T13:03:00Z</dcterms:created>
  <dc:creator>1288654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